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CANDIDATURA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 ASSEMBLEA REGIONALE ELETTIVA </w:t>
      </w:r>
      <w:r w:rsidDel="00000000" w:rsidR="00000000" w:rsidRPr="00000000">
        <w:rPr>
          <w:rFonts w:ascii="Times New Roman" w:cs="Times New Roman" w:eastAsia="Times New Roman" w:hAnsi="Times New Roman"/>
          <w:b w:val="1"/>
          <w:sz w:val="28"/>
          <w:szCs w:val="28"/>
          <w:rtl w:val="0"/>
        </w:rPr>
        <w:t xml:space="preserve">COMITATO TRENTINO FISO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del</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15 ottobre </w:t>
      </w:r>
      <w:r w:rsidDel="00000000" w:rsidR="00000000" w:rsidRPr="00000000">
        <w:rPr>
          <w:rFonts w:ascii="Times New Roman" w:cs="Times New Roman" w:eastAsia="Times New Roman" w:hAnsi="Times New Roman"/>
          <w:b w:val="1"/>
          <w:sz w:val="28"/>
          <w:szCs w:val="28"/>
          <w:vertAlign w:val="baseline"/>
          <w:rtl w:val="0"/>
        </w:rPr>
        <w:t xml:space="preserve">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Il/La sottoscritto/a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Tesserato/a FISO con il 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Alla Società ……………………………………………….………………          codice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dichiara di:</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essere in possesso della cittadinanza italiana;</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non aver riportato condanne penali passate in giudizio per reati non colposi a pene detentive superiori ad un anno ovvero a pene che comportino l’interdizione dai pubblici uffici superiore ad un anno;</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non aver riportato nell’ultimo decennio, salvo riabilitazione, squalifiche o inibizioni sportive definitive complessivamente superiori ad un anno, da parte della FISO, delle Federazioni Sportive Nazionali, del CONI, delle Discipline Sportive Associate ed Enti di Promozione Sportiva o di Organismi Sportivi internazionali riconosciuti;</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di non aver subito sanzioni di sospensione dell’attività sportiva a seguito di utilizzo di sostanze o di metodi che alterano le naturali prestazioni fisiche nelle attività sportive;</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di non aver come fonte primaria o prevalente di reddito una attività commerciale collegata a quella federale;</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di non avere in essere controversie giudiziali contro il CONI, le Federazioni, le Discipline Associate o contro altri Organismi riconosciuti dal CONI stesso;</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vertAlign w:val="baseline"/>
          <w:rtl w:val="0"/>
        </w:rPr>
        <w:t xml:space="preserve">inoltre</w:t>
      </w:r>
      <w:r w:rsidDel="00000000" w:rsidR="00000000" w:rsidRPr="00000000">
        <w:rPr>
          <w:rFonts w:ascii="Times New Roman" w:cs="Times New Roman" w:eastAsia="Times New Roman" w:hAnsi="Times New Roman"/>
          <w:b w:val="0"/>
          <w:vertAlign w:val="baseline"/>
          <w:rtl w:val="0"/>
        </w:rPr>
        <w:t xml:space="preserve">  -      solo per la candidatura a Consigliere Regionale quota Atleti e quota Tecnici:</w:t>
      </w:r>
    </w:p>
    <w:p w:rsidR="00000000" w:rsidDel="00000000" w:rsidP="00000000" w:rsidRDefault="00000000" w:rsidRPr="00000000">
      <w:pPr>
        <w:numPr>
          <w:ilvl w:val="0"/>
          <w:numId w:val="1"/>
        </w:numPr>
        <w:spacing w:after="0" w:before="0" w:line="240" w:lineRule="auto"/>
        <w:ind w:left="1065" w:hanging="36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di essere in attività o di esserlo stato per almeno due anni nell’ultimo decennio.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Presenta la propria candidatura alla carica di:</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t xml:space="preserve">Presidente Regionale</w:t>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w:t>
        <w:tab/>
        <w:t xml:space="preserve">Consigliere Regionale quota Dirigente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t xml:space="preserve">Consigliere Regionale quota Atleti</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w:t>
        <w:tab/>
        <w:t xml:space="preserve">Consigliere Regionale quota Tecnici</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Data</w:t>
        <w:tab/>
        <w:tab/>
        <w:tab/>
        <w:tab/>
        <w:tab/>
        <w:tab/>
        <w:tab/>
        <w:tab/>
        <w:t xml:space="preserve">In fede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Le norme che regolano le candidature sono contenute nello Statuto e nel Regolamento Organico Federale della Federazione Italiana Sport Orientamento. In caso di difformità dovute alle recentissime modifiche richieste dal CONI, relative allo Statuto, fa chiaramente fede lo Statuto stesso nei confronti del Regolamento Organico Federale, per gerarchia delle fonti.</w:t>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